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p>
    <w:p w:rsidR="0048517F" w:rsidRDefault="0048517F" w:rsidP="002E77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Incidence </w:t>
      </w:r>
      <w:r w:rsidR="002E7766">
        <w:rPr>
          <w:rFonts w:ascii="Times New Roman" w:hAnsi="Times New Roman" w:cs="Times New Roman"/>
          <w:sz w:val="24"/>
          <w:szCs w:val="24"/>
        </w:rPr>
        <w:t>Response and Recovery Planning and Execution</w:t>
      </w:r>
    </w:p>
    <w:p w:rsidR="0048517F" w:rsidRDefault="0048517F" w:rsidP="002E77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8517F" w:rsidRDefault="0048517F" w:rsidP="002E77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8517F" w:rsidRDefault="0048517F" w:rsidP="002E776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48517F" w:rsidRDefault="0048517F" w:rsidP="002E77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Incidence </w:t>
      </w:r>
      <w:r w:rsidR="002E7766">
        <w:rPr>
          <w:rFonts w:ascii="Times New Roman" w:hAnsi="Times New Roman" w:cs="Times New Roman"/>
          <w:sz w:val="24"/>
          <w:szCs w:val="24"/>
        </w:rPr>
        <w:t>Response and Recovery Planning and Execution</w:t>
      </w:r>
    </w:p>
    <w:p w:rsidR="00F03764" w:rsidRPr="00F03764" w:rsidRDefault="00F03764" w:rsidP="002E7766">
      <w:pPr>
        <w:spacing w:after="0" w:line="480" w:lineRule="auto"/>
        <w:ind w:firstLine="720"/>
        <w:jc w:val="both"/>
        <w:rPr>
          <w:rFonts w:ascii="Times New Roman" w:hAnsi="Times New Roman" w:cs="Times New Roman"/>
          <w:sz w:val="24"/>
          <w:szCs w:val="24"/>
        </w:rPr>
      </w:pPr>
      <w:r w:rsidRPr="00F03764">
        <w:rPr>
          <w:rFonts w:ascii="Times New Roman" w:hAnsi="Times New Roman" w:cs="Times New Roman"/>
          <w:sz w:val="24"/>
          <w:szCs w:val="24"/>
        </w:rPr>
        <w:t>Every organization regardless of its size is prone to risks. Security threats are increasing with the rise of technological know-how. Firms are always advised to put up measures that can reduce the chances of the dangers, or reduce the severity of the effects. Incident planning and execution are one of the most crucial activities in maintaining the safety of organizations.  The planning and execution team designs strategies to deal with any eventuality in advance. For proper arrangements, they can use previous case scenarios. The operations occur effectively with the collaboration of a response team to specialize in computer security, a legal expert and communications expert. With the three different functions, an organization can operate with confidence and will escape or manage security incidences appropriately.</w:t>
      </w:r>
    </w:p>
    <w:p w:rsidR="00F03764" w:rsidRPr="00F03764" w:rsidRDefault="00F03764" w:rsidP="002E7766">
      <w:pPr>
        <w:spacing w:after="0" w:line="480" w:lineRule="auto"/>
        <w:ind w:firstLine="720"/>
        <w:jc w:val="both"/>
        <w:rPr>
          <w:rFonts w:ascii="Times New Roman" w:hAnsi="Times New Roman" w:cs="Times New Roman"/>
          <w:sz w:val="24"/>
          <w:szCs w:val="24"/>
        </w:rPr>
      </w:pPr>
      <w:r w:rsidRPr="00F03764">
        <w:rPr>
          <w:rFonts w:ascii="Times New Roman" w:hAnsi="Times New Roman" w:cs="Times New Roman"/>
          <w:sz w:val="24"/>
          <w:szCs w:val="24"/>
        </w:rPr>
        <w:t>A legal counsel is crucial in the early stages of planning. The authorized officer involved should be well versed with security issues like cybersecurity and other critical activities required in the daily routine of incident affairs. Legal team help in formulating policies meant to guide the operations. Lawyers ensure that the rules are by public laws. They give assurance to each topic involved. Once a draft of plans is made by the decision makers, the legal team scrutinize them to ensure that they do not contradict with other jurisdictional regulations. They are also responsible for examining the contracts made with subcontracted services</w:t>
      </w:r>
      <w:r w:rsidR="007C660D">
        <w:rPr>
          <w:rFonts w:ascii="Times New Roman" w:hAnsi="Times New Roman" w:cs="Times New Roman"/>
          <w:sz w:val="24"/>
          <w:szCs w:val="24"/>
        </w:rPr>
        <w:t xml:space="preserve"> (</w:t>
      </w:r>
      <w:r w:rsidR="007C660D">
        <w:rPr>
          <w:rFonts w:ascii="Times New Roman" w:hAnsi="Times New Roman" w:cs="Times New Roman"/>
          <w:color w:val="222222"/>
          <w:sz w:val="24"/>
          <w:szCs w:val="24"/>
          <w:shd w:val="clear" w:color="auto" w:fill="FFFFFF"/>
        </w:rPr>
        <w:t>Moody et al., 2016)</w:t>
      </w:r>
      <w:r w:rsidRPr="00F03764">
        <w:rPr>
          <w:rFonts w:ascii="Times New Roman" w:hAnsi="Times New Roman" w:cs="Times New Roman"/>
          <w:sz w:val="24"/>
          <w:szCs w:val="24"/>
        </w:rPr>
        <w:t>. They advise the stakeholder on ways to keep the plans and sensitive information confidential.</w:t>
      </w:r>
    </w:p>
    <w:p w:rsidR="00F03764" w:rsidRPr="00F03764" w:rsidRDefault="00F03764" w:rsidP="002E7766">
      <w:pPr>
        <w:spacing w:after="0" w:line="480" w:lineRule="auto"/>
        <w:ind w:firstLine="720"/>
        <w:jc w:val="both"/>
        <w:rPr>
          <w:rFonts w:ascii="Times New Roman" w:hAnsi="Times New Roman" w:cs="Times New Roman"/>
          <w:sz w:val="24"/>
          <w:szCs w:val="24"/>
        </w:rPr>
      </w:pPr>
      <w:r w:rsidRPr="00F03764">
        <w:rPr>
          <w:rFonts w:ascii="Times New Roman" w:hAnsi="Times New Roman" w:cs="Times New Roman"/>
          <w:sz w:val="24"/>
          <w:szCs w:val="24"/>
        </w:rPr>
        <w:t xml:space="preserve">Recovery planning and execution is the process of determining the potentials activities that can be used to restore the operations of a firm in case of a disaster. After an incident like cybercrime affects the organization, different stakeholders collaborate to provide ideas and implement recovery strategies. The legal sector is one of the critical involvement that helps in regaining after a loss. The concerned lawyer completes all the required templates and ensures that all the data </w:t>
      </w:r>
      <w:r w:rsidRPr="00F03764">
        <w:rPr>
          <w:rFonts w:ascii="Times New Roman" w:hAnsi="Times New Roman" w:cs="Times New Roman"/>
          <w:sz w:val="24"/>
          <w:szCs w:val="24"/>
        </w:rPr>
        <w:lastRenderedPageBreak/>
        <w:t>needed is available. The lawyer also provides that all the relevant documents are released on time for further follow-up activities. Sometimes the legal personnel help in collecting any evidence</w:t>
      </w:r>
      <w:r w:rsidR="007C660D">
        <w:rPr>
          <w:rFonts w:ascii="Times New Roman" w:hAnsi="Times New Roman" w:cs="Times New Roman"/>
          <w:sz w:val="24"/>
          <w:szCs w:val="24"/>
        </w:rPr>
        <w:t xml:space="preserve"> (</w:t>
      </w:r>
      <w:proofErr w:type="spellStart"/>
      <w:r w:rsidR="007C660D" w:rsidRPr="00D86B89">
        <w:rPr>
          <w:rFonts w:ascii="Times New Roman" w:hAnsi="Times New Roman" w:cs="Times New Roman"/>
          <w:color w:val="222222"/>
          <w:sz w:val="24"/>
          <w:szCs w:val="24"/>
          <w:shd w:val="clear" w:color="auto" w:fill="FFFFFF"/>
        </w:rPr>
        <w:t>Moo</w:t>
      </w:r>
      <w:r w:rsidR="007C660D">
        <w:rPr>
          <w:rFonts w:ascii="Times New Roman" w:hAnsi="Times New Roman" w:cs="Times New Roman"/>
          <w:color w:val="222222"/>
          <w:sz w:val="24"/>
          <w:szCs w:val="24"/>
          <w:shd w:val="clear" w:color="auto" w:fill="FFFFFF"/>
        </w:rPr>
        <w:t>i</w:t>
      </w:r>
      <w:proofErr w:type="spellEnd"/>
      <w:r w:rsidR="007C660D">
        <w:rPr>
          <w:rFonts w:ascii="Times New Roman" w:hAnsi="Times New Roman" w:cs="Times New Roman"/>
          <w:color w:val="222222"/>
          <w:sz w:val="24"/>
          <w:szCs w:val="24"/>
          <w:shd w:val="clear" w:color="auto" w:fill="FFFFFF"/>
        </w:rPr>
        <w:t xml:space="preserve"> &amp; Botha, 2016, p78)</w:t>
      </w:r>
      <w:r w:rsidRPr="00F03764">
        <w:rPr>
          <w:rFonts w:ascii="Times New Roman" w:hAnsi="Times New Roman" w:cs="Times New Roman"/>
          <w:sz w:val="24"/>
          <w:szCs w:val="24"/>
        </w:rPr>
        <w:t xml:space="preserve">. The lawyer ensures that all the events that led to the loss are documented for filing lawsuits. </w:t>
      </w:r>
    </w:p>
    <w:p w:rsidR="00F03764" w:rsidRPr="00F03764" w:rsidRDefault="00F03764" w:rsidP="002E7766">
      <w:pPr>
        <w:spacing w:after="0" w:line="480" w:lineRule="auto"/>
        <w:ind w:firstLine="720"/>
        <w:jc w:val="both"/>
        <w:rPr>
          <w:rFonts w:ascii="Times New Roman" w:hAnsi="Times New Roman" w:cs="Times New Roman"/>
          <w:sz w:val="24"/>
          <w:szCs w:val="24"/>
        </w:rPr>
      </w:pPr>
      <w:r w:rsidRPr="00F03764">
        <w:rPr>
          <w:rFonts w:ascii="Times New Roman" w:hAnsi="Times New Roman" w:cs="Times New Roman"/>
          <w:sz w:val="24"/>
          <w:szCs w:val="24"/>
        </w:rPr>
        <w:t>The functions of legal counsel in response and recovery planning and execution are different. When planning for an answer, the advice is provided for making policies for an incidence that has not yet occurred. At this point, all the strategies are made under speculations. Legal experts in the recovery stage are required to provide solutions and ideas to events that have already occurred. When executing for a response, the organization does not have to get in touch with law enforcement. In the recovery process, the legal officer has the mandate of acting on behalf of the firm to contact the law administration</w:t>
      </w:r>
      <w:r w:rsidR="00D86B89">
        <w:rPr>
          <w:rFonts w:ascii="Times New Roman" w:hAnsi="Times New Roman" w:cs="Times New Roman"/>
          <w:sz w:val="24"/>
          <w:szCs w:val="24"/>
        </w:rPr>
        <w:t xml:space="preserve"> (</w:t>
      </w:r>
      <w:proofErr w:type="spellStart"/>
      <w:r w:rsidR="00D86B89">
        <w:rPr>
          <w:rFonts w:ascii="Times New Roman" w:hAnsi="Times New Roman" w:cs="Times New Roman"/>
          <w:color w:val="222222"/>
          <w:sz w:val="24"/>
          <w:szCs w:val="24"/>
          <w:shd w:val="clear" w:color="auto" w:fill="FFFFFF"/>
        </w:rPr>
        <w:t>Bartock</w:t>
      </w:r>
      <w:proofErr w:type="spellEnd"/>
      <w:r w:rsidR="00D86B89">
        <w:rPr>
          <w:rFonts w:ascii="Times New Roman" w:hAnsi="Times New Roman" w:cs="Times New Roman"/>
          <w:color w:val="222222"/>
          <w:sz w:val="24"/>
          <w:szCs w:val="24"/>
          <w:shd w:val="clear" w:color="auto" w:fill="FFFFFF"/>
        </w:rPr>
        <w:t xml:space="preserve"> et al., 2016)</w:t>
      </w:r>
      <w:r w:rsidRPr="00F03764">
        <w:rPr>
          <w:rFonts w:ascii="Times New Roman" w:hAnsi="Times New Roman" w:cs="Times New Roman"/>
          <w:sz w:val="24"/>
          <w:szCs w:val="24"/>
        </w:rPr>
        <w:t>. However, legal advice is vital in both cases because the decision makers in the organization are provided with legal knowledge that helps manage all the possible threats in a firm.</w:t>
      </w:r>
    </w:p>
    <w:p w:rsidR="00F03764" w:rsidRPr="00F03764" w:rsidRDefault="00F03764" w:rsidP="002E7766">
      <w:pPr>
        <w:spacing w:after="0" w:line="480" w:lineRule="auto"/>
        <w:ind w:firstLine="720"/>
        <w:jc w:val="both"/>
        <w:rPr>
          <w:rFonts w:ascii="Times New Roman" w:hAnsi="Times New Roman" w:cs="Times New Roman"/>
          <w:sz w:val="24"/>
          <w:szCs w:val="24"/>
        </w:rPr>
      </w:pPr>
      <w:r w:rsidRPr="00F03764">
        <w:rPr>
          <w:rFonts w:ascii="Times New Roman" w:hAnsi="Times New Roman" w:cs="Times New Roman"/>
          <w:sz w:val="24"/>
          <w:szCs w:val="24"/>
        </w:rPr>
        <w:t xml:space="preserve">In incident response, the laws involved include those regarding data security. For </w:t>
      </w:r>
      <w:bookmarkStart w:id="0" w:name="_GoBack"/>
      <w:bookmarkEnd w:id="0"/>
      <w:r w:rsidR="00B25FF0" w:rsidRPr="00F03764">
        <w:rPr>
          <w:rFonts w:ascii="Times New Roman" w:hAnsi="Times New Roman" w:cs="Times New Roman"/>
          <w:sz w:val="24"/>
          <w:szCs w:val="24"/>
        </w:rPr>
        <w:t>example,</w:t>
      </w:r>
      <w:r w:rsidRPr="00F03764">
        <w:rPr>
          <w:rFonts w:ascii="Times New Roman" w:hAnsi="Times New Roman" w:cs="Times New Roman"/>
          <w:sz w:val="24"/>
          <w:szCs w:val="24"/>
        </w:rPr>
        <w:t xml:space="preserve"> in Canada, there is an Act on (Personal Information Protection and Electronic Documents). The rule explains to the organization on how and where to report any breach of information. The laws of commercial contracts are also involved when the firm is making agreements with outsources companies or individuals for the required services in time of response. In recovery planning, the law of legal right known as (legal privilege) is applied when a need for disclosing information or documents arise. When the company is seeking legal advice for recovery planning, the law of legal advice privilege is used to maintain the confidentiality of data between the lawyer and the organization</w:t>
      </w:r>
      <w:r w:rsidR="00D86B89">
        <w:rPr>
          <w:rFonts w:ascii="Times New Roman" w:hAnsi="Times New Roman" w:cs="Times New Roman"/>
          <w:sz w:val="24"/>
          <w:szCs w:val="24"/>
        </w:rPr>
        <w:t xml:space="preserve"> (</w:t>
      </w:r>
      <w:r w:rsidR="00D86B89">
        <w:rPr>
          <w:rFonts w:ascii="Times New Roman" w:hAnsi="Times New Roman" w:cs="Times New Roman"/>
          <w:color w:val="222222"/>
          <w:sz w:val="24"/>
          <w:szCs w:val="24"/>
          <w:shd w:val="clear" w:color="auto" w:fill="FFFFFF"/>
        </w:rPr>
        <w:t>Carver et al., 2016)</w:t>
      </w:r>
      <w:r w:rsidRPr="00F03764">
        <w:rPr>
          <w:rFonts w:ascii="Times New Roman" w:hAnsi="Times New Roman" w:cs="Times New Roman"/>
          <w:sz w:val="24"/>
          <w:szCs w:val="24"/>
        </w:rPr>
        <w:t>. The legal advisor should have experience in law enforcement.</w:t>
      </w:r>
    </w:p>
    <w:p w:rsidR="00F03764" w:rsidRPr="00F03764" w:rsidRDefault="00F03764" w:rsidP="002E7766">
      <w:pPr>
        <w:spacing w:after="0" w:line="480" w:lineRule="auto"/>
        <w:ind w:firstLine="720"/>
        <w:jc w:val="both"/>
        <w:rPr>
          <w:rFonts w:ascii="Times New Roman" w:hAnsi="Times New Roman" w:cs="Times New Roman"/>
          <w:sz w:val="24"/>
          <w:szCs w:val="24"/>
        </w:rPr>
      </w:pPr>
      <w:r w:rsidRPr="00F03764">
        <w:rPr>
          <w:rFonts w:ascii="Times New Roman" w:hAnsi="Times New Roman" w:cs="Times New Roman"/>
          <w:sz w:val="24"/>
          <w:szCs w:val="24"/>
        </w:rPr>
        <w:lastRenderedPageBreak/>
        <w:t>In incident response planning and execution, the organization should allocate enough resources for proper response. The plan must contain all the approaches to be taken in case of an occurrence. For easier prioritizing of needs and threats, the decision makers should identify the most critical systems. In recovery plan and execution, the timeframe for recovery should be specific for the lawyer to give appropriate advice depending on the system to be recovered. While providing the programs for response and recovery the stakeholders should also offer protection strategies against future scandals. The legal guidance is essential in all the stages of planning for incidences. The organization should consider a legal expert that is aware of most issues regarding security threats and technology. The firm should always seek legal advice on agreement drafting in incident response planning.</w:t>
      </w:r>
    </w:p>
    <w:p w:rsidR="00D86B89" w:rsidRDefault="00D86B89" w:rsidP="002E7766">
      <w:pPr>
        <w:spacing w:after="0" w:line="480" w:lineRule="auto"/>
        <w:ind w:firstLine="720"/>
        <w:jc w:val="center"/>
        <w:rPr>
          <w:rFonts w:ascii="Times New Roman" w:hAnsi="Times New Roman" w:cs="Times New Roman"/>
          <w:sz w:val="24"/>
          <w:szCs w:val="24"/>
        </w:rPr>
      </w:pPr>
    </w:p>
    <w:p w:rsidR="00D86B89" w:rsidRDefault="00D86B89" w:rsidP="002E7766">
      <w:pPr>
        <w:spacing w:after="0" w:line="480" w:lineRule="auto"/>
        <w:ind w:firstLine="720"/>
        <w:jc w:val="center"/>
        <w:rPr>
          <w:rFonts w:ascii="Times New Roman" w:hAnsi="Times New Roman" w:cs="Times New Roman"/>
          <w:sz w:val="24"/>
          <w:szCs w:val="24"/>
        </w:rPr>
      </w:pPr>
    </w:p>
    <w:p w:rsidR="00D86B89" w:rsidRDefault="00D86B89" w:rsidP="002E7766">
      <w:pPr>
        <w:spacing w:after="0" w:line="480" w:lineRule="auto"/>
        <w:ind w:firstLine="720"/>
        <w:jc w:val="center"/>
        <w:rPr>
          <w:rFonts w:ascii="Times New Roman" w:hAnsi="Times New Roman" w:cs="Times New Roman"/>
          <w:sz w:val="24"/>
          <w:szCs w:val="24"/>
        </w:rPr>
      </w:pPr>
    </w:p>
    <w:p w:rsidR="002E7766" w:rsidRDefault="002E7766">
      <w:pPr>
        <w:rPr>
          <w:rFonts w:ascii="Times New Roman" w:hAnsi="Times New Roman" w:cs="Times New Roman"/>
          <w:sz w:val="24"/>
          <w:szCs w:val="24"/>
        </w:rPr>
      </w:pPr>
      <w:r>
        <w:rPr>
          <w:rFonts w:ascii="Times New Roman" w:hAnsi="Times New Roman" w:cs="Times New Roman"/>
          <w:sz w:val="24"/>
          <w:szCs w:val="24"/>
        </w:rPr>
        <w:br w:type="page"/>
      </w:r>
    </w:p>
    <w:p w:rsidR="00AB5895" w:rsidRDefault="00AB5895" w:rsidP="002E77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6B89" w:rsidRPr="00D86B89" w:rsidRDefault="00D86B89" w:rsidP="002E7766">
      <w:pPr>
        <w:spacing w:after="0" w:line="480" w:lineRule="auto"/>
        <w:ind w:left="720" w:hanging="720"/>
        <w:rPr>
          <w:rFonts w:ascii="Times New Roman" w:hAnsi="Times New Roman" w:cs="Times New Roman"/>
          <w:color w:val="222222"/>
          <w:sz w:val="24"/>
          <w:szCs w:val="24"/>
          <w:shd w:val="clear" w:color="auto" w:fill="FFFFFF"/>
        </w:rPr>
      </w:pPr>
      <w:proofErr w:type="spellStart"/>
      <w:r w:rsidRPr="00D86B89">
        <w:rPr>
          <w:rFonts w:ascii="Times New Roman" w:hAnsi="Times New Roman" w:cs="Times New Roman"/>
          <w:color w:val="222222"/>
          <w:sz w:val="24"/>
          <w:szCs w:val="24"/>
          <w:shd w:val="clear" w:color="auto" w:fill="FFFFFF"/>
        </w:rPr>
        <w:t>Bartock</w:t>
      </w:r>
      <w:proofErr w:type="spellEnd"/>
      <w:r w:rsidRPr="00D86B89">
        <w:rPr>
          <w:rFonts w:ascii="Times New Roman" w:hAnsi="Times New Roman" w:cs="Times New Roman"/>
          <w:color w:val="222222"/>
          <w:sz w:val="24"/>
          <w:szCs w:val="24"/>
          <w:shd w:val="clear" w:color="auto" w:fill="FFFFFF"/>
        </w:rPr>
        <w:t xml:space="preserve">, M., </w:t>
      </w:r>
      <w:proofErr w:type="spellStart"/>
      <w:r w:rsidRPr="00D86B89">
        <w:rPr>
          <w:rFonts w:ascii="Times New Roman" w:hAnsi="Times New Roman" w:cs="Times New Roman"/>
          <w:color w:val="222222"/>
          <w:sz w:val="24"/>
          <w:szCs w:val="24"/>
          <w:shd w:val="clear" w:color="auto" w:fill="FFFFFF"/>
        </w:rPr>
        <w:t>Cichonski</w:t>
      </w:r>
      <w:proofErr w:type="spellEnd"/>
      <w:r w:rsidRPr="00D86B89">
        <w:rPr>
          <w:rFonts w:ascii="Times New Roman" w:hAnsi="Times New Roman" w:cs="Times New Roman"/>
          <w:color w:val="222222"/>
          <w:sz w:val="24"/>
          <w:szCs w:val="24"/>
          <w:shd w:val="clear" w:color="auto" w:fill="FFFFFF"/>
        </w:rPr>
        <w:t xml:space="preserve">, J., </w:t>
      </w:r>
      <w:proofErr w:type="spellStart"/>
      <w:r w:rsidRPr="00D86B89">
        <w:rPr>
          <w:rFonts w:ascii="Times New Roman" w:hAnsi="Times New Roman" w:cs="Times New Roman"/>
          <w:color w:val="222222"/>
          <w:sz w:val="24"/>
          <w:szCs w:val="24"/>
          <w:shd w:val="clear" w:color="auto" w:fill="FFFFFF"/>
        </w:rPr>
        <w:t>Souppaya</w:t>
      </w:r>
      <w:proofErr w:type="spellEnd"/>
      <w:r w:rsidRPr="00D86B89">
        <w:rPr>
          <w:rFonts w:ascii="Times New Roman" w:hAnsi="Times New Roman" w:cs="Times New Roman"/>
          <w:color w:val="222222"/>
          <w:sz w:val="24"/>
          <w:szCs w:val="24"/>
          <w:shd w:val="clear" w:color="auto" w:fill="FFFFFF"/>
        </w:rPr>
        <w:t xml:space="preserve">, M., Smith, M., Witte, G., &amp; </w:t>
      </w:r>
      <w:proofErr w:type="spellStart"/>
      <w:r w:rsidRPr="00D86B89">
        <w:rPr>
          <w:rFonts w:ascii="Times New Roman" w:hAnsi="Times New Roman" w:cs="Times New Roman"/>
          <w:color w:val="222222"/>
          <w:sz w:val="24"/>
          <w:szCs w:val="24"/>
          <w:shd w:val="clear" w:color="auto" w:fill="FFFFFF"/>
        </w:rPr>
        <w:t>Scarfone</w:t>
      </w:r>
      <w:proofErr w:type="spellEnd"/>
      <w:r w:rsidRPr="00D86B89">
        <w:rPr>
          <w:rFonts w:ascii="Times New Roman" w:hAnsi="Times New Roman" w:cs="Times New Roman"/>
          <w:color w:val="222222"/>
          <w:sz w:val="24"/>
          <w:szCs w:val="24"/>
          <w:shd w:val="clear" w:color="auto" w:fill="FFFFFF"/>
        </w:rPr>
        <w:t>, K. (2016). </w:t>
      </w:r>
      <w:r w:rsidRPr="00D86B89">
        <w:rPr>
          <w:rFonts w:ascii="Times New Roman" w:hAnsi="Times New Roman" w:cs="Times New Roman"/>
          <w:i/>
          <w:iCs/>
          <w:color w:val="222222"/>
          <w:sz w:val="24"/>
          <w:szCs w:val="24"/>
          <w:shd w:val="clear" w:color="auto" w:fill="FFFFFF"/>
        </w:rPr>
        <w:t xml:space="preserve">Guide for cybersecurity event </w:t>
      </w:r>
      <w:proofErr w:type="gramStart"/>
      <w:r w:rsidRPr="00D86B89">
        <w:rPr>
          <w:rFonts w:ascii="Times New Roman" w:hAnsi="Times New Roman" w:cs="Times New Roman"/>
          <w:i/>
          <w:iCs/>
          <w:color w:val="222222"/>
          <w:sz w:val="24"/>
          <w:szCs w:val="24"/>
          <w:shd w:val="clear" w:color="auto" w:fill="FFFFFF"/>
        </w:rPr>
        <w:t>recovery</w:t>
      </w:r>
      <w:r w:rsidRPr="00D86B89">
        <w:rPr>
          <w:rFonts w:ascii="Times New Roman" w:hAnsi="Times New Roman" w:cs="Times New Roman"/>
          <w:color w:val="222222"/>
          <w:sz w:val="24"/>
          <w:szCs w:val="24"/>
          <w:shd w:val="clear" w:color="auto" w:fill="FFFFFF"/>
        </w:rPr>
        <w:t>(</w:t>
      </w:r>
      <w:proofErr w:type="gramEnd"/>
      <w:r w:rsidRPr="00D86B89">
        <w:rPr>
          <w:rFonts w:ascii="Times New Roman" w:hAnsi="Times New Roman" w:cs="Times New Roman"/>
          <w:color w:val="222222"/>
          <w:sz w:val="24"/>
          <w:szCs w:val="24"/>
          <w:shd w:val="clear" w:color="auto" w:fill="FFFFFF"/>
        </w:rPr>
        <w:t>No. NIST Special Publication (SP) 800-184 (Draft)). National Institute of Standards and Technology.</w:t>
      </w:r>
    </w:p>
    <w:p w:rsidR="00D86B89" w:rsidRPr="00D86B89" w:rsidRDefault="00D86B89" w:rsidP="002E7766">
      <w:pPr>
        <w:spacing w:after="0" w:line="480" w:lineRule="auto"/>
        <w:ind w:left="720" w:hanging="720"/>
        <w:rPr>
          <w:rFonts w:ascii="Times New Roman" w:hAnsi="Times New Roman" w:cs="Times New Roman"/>
          <w:color w:val="222222"/>
          <w:sz w:val="24"/>
          <w:szCs w:val="24"/>
          <w:shd w:val="clear" w:color="auto" w:fill="FFFFFF"/>
        </w:rPr>
      </w:pPr>
      <w:r w:rsidRPr="00D86B89">
        <w:rPr>
          <w:rFonts w:ascii="Times New Roman" w:hAnsi="Times New Roman" w:cs="Times New Roman"/>
          <w:color w:val="222222"/>
          <w:sz w:val="24"/>
          <w:szCs w:val="24"/>
          <w:shd w:val="clear" w:color="auto" w:fill="FFFFFF"/>
        </w:rPr>
        <w:t xml:space="preserve">Carver, M., </w:t>
      </w:r>
      <w:proofErr w:type="spellStart"/>
      <w:r w:rsidRPr="00D86B89">
        <w:rPr>
          <w:rFonts w:ascii="Times New Roman" w:hAnsi="Times New Roman" w:cs="Times New Roman"/>
          <w:color w:val="222222"/>
          <w:sz w:val="24"/>
          <w:szCs w:val="24"/>
          <w:shd w:val="clear" w:color="auto" w:fill="FFFFFF"/>
        </w:rPr>
        <w:t>DiValentin</w:t>
      </w:r>
      <w:proofErr w:type="spellEnd"/>
      <w:r w:rsidRPr="00D86B89">
        <w:rPr>
          <w:rFonts w:ascii="Times New Roman" w:hAnsi="Times New Roman" w:cs="Times New Roman"/>
          <w:color w:val="222222"/>
          <w:sz w:val="24"/>
          <w:szCs w:val="24"/>
          <w:shd w:val="clear" w:color="auto" w:fill="FFFFFF"/>
        </w:rPr>
        <w:t xml:space="preserve">, L. W., Lefebvre, M. L., </w:t>
      </w:r>
      <w:proofErr w:type="spellStart"/>
      <w:r w:rsidRPr="00D86B89">
        <w:rPr>
          <w:rFonts w:ascii="Times New Roman" w:hAnsi="Times New Roman" w:cs="Times New Roman"/>
          <w:color w:val="222222"/>
          <w:sz w:val="24"/>
          <w:szCs w:val="24"/>
          <w:shd w:val="clear" w:color="auto" w:fill="FFFFFF"/>
        </w:rPr>
        <w:t>Hovor</w:t>
      </w:r>
      <w:proofErr w:type="spellEnd"/>
      <w:r w:rsidRPr="00D86B89">
        <w:rPr>
          <w:rFonts w:ascii="Times New Roman" w:hAnsi="Times New Roman" w:cs="Times New Roman"/>
          <w:color w:val="222222"/>
          <w:sz w:val="24"/>
          <w:szCs w:val="24"/>
          <w:shd w:val="clear" w:color="auto" w:fill="FFFFFF"/>
        </w:rPr>
        <w:t xml:space="preserve">, E., &amp; </w:t>
      </w:r>
      <w:proofErr w:type="spellStart"/>
      <w:r w:rsidRPr="00D86B89">
        <w:rPr>
          <w:rFonts w:ascii="Times New Roman" w:hAnsi="Times New Roman" w:cs="Times New Roman"/>
          <w:color w:val="222222"/>
          <w:sz w:val="24"/>
          <w:szCs w:val="24"/>
          <w:shd w:val="clear" w:color="auto" w:fill="FFFFFF"/>
        </w:rPr>
        <w:t>Rozmiarek</w:t>
      </w:r>
      <w:proofErr w:type="spellEnd"/>
      <w:r w:rsidRPr="00D86B89">
        <w:rPr>
          <w:rFonts w:ascii="Times New Roman" w:hAnsi="Times New Roman" w:cs="Times New Roman"/>
          <w:color w:val="222222"/>
          <w:sz w:val="24"/>
          <w:szCs w:val="24"/>
          <w:shd w:val="clear" w:color="auto" w:fill="FFFFFF"/>
        </w:rPr>
        <w:t>, D. W. (2016). </w:t>
      </w:r>
      <w:r w:rsidRPr="00D86B89">
        <w:rPr>
          <w:rFonts w:ascii="Times New Roman" w:hAnsi="Times New Roman" w:cs="Times New Roman"/>
          <w:i/>
          <w:iCs/>
          <w:color w:val="222222"/>
          <w:sz w:val="24"/>
          <w:szCs w:val="24"/>
          <w:shd w:val="clear" w:color="auto" w:fill="FFFFFF"/>
        </w:rPr>
        <w:t>U.S. Patent No. 9,386,041</w:t>
      </w:r>
      <w:r w:rsidRPr="00D86B89">
        <w:rPr>
          <w:rFonts w:ascii="Times New Roman" w:hAnsi="Times New Roman" w:cs="Times New Roman"/>
          <w:color w:val="222222"/>
          <w:sz w:val="24"/>
          <w:szCs w:val="24"/>
          <w:shd w:val="clear" w:color="auto" w:fill="FFFFFF"/>
        </w:rPr>
        <w:t>. Washington, DC: U.S. Patent and Trademark Office.</w:t>
      </w:r>
    </w:p>
    <w:p w:rsidR="00D86B89" w:rsidRPr="00D86B89" w:rsidRDefault="00D86B89" w:rsidP="002E7766">
      <w:pPr>
        <w:spacing w:after="0" w:line="480" w:lineRule="auto"/>
        <w:ind w:left="720" w:hanging="720"/>
        <w:rPr>
          <w:rFonts w:ascii="Times New Roman" w:hAnsi="Times New Roman" w:cs="Times New Roman"/>
          <w:sz w:val="24"/>
          <w:szCs w:val="24"/>
        </w:rPr>
      </w:pPr>
      <w:r w:rsidRPr="00D86B89">
        <w:rPr>
          <w:rFonts w:ascii="Times New Roman" w:hAnsi="Times New Roman" w:cs="Times New Roman"/>
          <w:color w:val="222222"/>
          <w:sz w:val="24"/>
          <w:szCs w:val="24"/>
          <w:shd w:val="clear" w:color="auto" w:fill="FFFFFF"/>
        </w:rPr>
        <w:t>Moody, D. E., Moody, L. A., &amp; Wells, C. W. (2016). </w:t>
      </w:r>
      <w:r w:rsidRPr="00D86B89">
        <w:rPr>
          <w:rFonts w:ascii="Times New Roman" w:hAnsi="Times New Roman" w:cs="Times New Roman"/>
          <w:i/>
          <w:iCs/>
          <w:color w:val="222222"/>
          <w:sz w:val="24"/>
          <w:szCs w:val="24"/>
          <w:shd w:val="clear" w:color="auto" w:fill="FFFFFF"/>
        </w:rPr>
        <w:t>U.S. Patent Application No. 14/884,624</w:t>
      </w:r>
      <w:r w:rsidRPr="00D86B89">
        <w:rPr>
          <w:rFonts w:ascii="Times New Roman" w:hAnsi="Times New Roman" w:cs="Times New Roman"/>
          <w:color w:val="222222"/>
          <w:sz w:val="24"/>
          <w:szCs w:val="24"/>
          <w:shd w:val="clear" w:color="auto" w:fill="FFFFFF"/>
        </w:rPr>
        <w:t>.</w:t>
      </w:r>
    </w:p>
    <w:p w:rsidR="00D86B89" w:rsidRPr="00D86B89" w:rsidRDefault="00D86B89" w:rsidP="002E7766">
      <w:pPr>
        <w:spacing w:after="0" w:line="480" w:lineRule="auto"/>
        <w:ind w:left="720" w:hanging="720"/>
        <w:rPr>
          <w:rFonts w:ascii="Times New Roman" w:hAnsi="Times New Roman" w:cs="Times New Roman"/>
          <w:color w:val="222222"/>
          <w:sz w:val="24"/>
          <w:szCs w:val="24"/>
          <w:shd w:val="clear" w:color="auto" w:fill="FFFFFF"/>
        </w:rPr>
      </w:pPr>
      <w:proofErr w:type="spellStart"/>
      <w:r w:rsidRPr="00D86B89">
        <w:rPr>
          <w:rFonts w:ascii="Times New Roman" w:hAnsi="Times New Roman" w:cs="Times New Roman"/>
          <w:color w:val="222222"/>
          <w:sz w:val="24"/>
          <w:szCs w:val="24"/>
          <w:shd w:val="clear" w:color="auto" w:fill="FFFFFF"/>
        </w:rPr>
        <w:t>Mooi</w:t>
      </w:r>
      <w:proofErr w:type="spellEnd"/>
      <w:r w:rsidRPr="00D86B89">
        <w:rPr>
          <w:rFonts w:ascii="Times New Roman" w:hAnsi="Times New Roman" w:cs="Times New Roman"/>
          <w:color w:val="222222"/>
          <w:sz w:val="24"/>
          <w:szCs w:val="24"/>
          <w:shd w:val="clear" w:color="auto" w:fill="FFFFFF"/>
        </w:rPr>
        <w:t>, R. D., &amp; Botha, R. A. (2016). A Management Model for Building a Computer Security Incident Response Capability. </w:t>
      </w:r>
      <w:r w:rsidRPr="00D86B89">
        <w:rPr>
          <w:rFonts w:ascii="Times New Roman" w:hAnsi="Times New Roman" w:cs="Times New Roman"/>
          <w:i/>
          <w:iCs/>
          <w:color w:val="222222"/>
          <w:sz w:val="24"/>
          <w:szCs w:val="24"/>
          <w:shd w:val="clear" w:color="auto" w:fill="FFFFFF"/>
        </w:rPr>
        <w:t>SAIEE Africa Research Journal</w:t>
      </w:r>
      <w:r w:rsidRPr="00D86B89">
        <w:rPr>
          <w:rFonts w:ascii="Times New Roman" w:hAnsi="Times New Roman" w:cs="Times New Roman"/>
          <w:color w:val="222222"/>
          <w:sz w:val="24"/>
          <w:szCs w:val="24"/>
          <w:shd w:val="clear" w:color="auto" w:fill="FFFFFF"/>
        </w:rPr>
        <w:t>, </w:t>
      </w:r>
      <w:r w:rsidRPr="00D86B89">
        <w:rPr>
          <w:rFonts w:ascii="Times New Roman" w:hAnsi="Times New Roman" w:cs="Times New Roman"/>
          <w:i/>
          <w:iCs/>
          <w:color w:val="222222"/>
          <w:sz w:val="24"/>
          <w:szCs w:val="24"/>
          <w:shd w:val="clear" w:color="auto" w:fill="FFFFFF"/>
        </w:rPr>
        <w:t>107</w:t>
      </w:r>
      <w:r w:rsidRPr="00D86B89">
        <w:rPr>
          <w:rFonts w:ascii="Times New Roman" w:hAnsi="Times New Roman" w:cs="Times New Roman"/>
          <w:color w:val="222222"/>
          <w:sz w:val="24"/>
          <w:szCs w:val="24"/>
          <w:shd w:val="clear" w:color="auto" w:fill="FFFFFF"/>
        </w:rPr>
        <w:t>(2), 78-91.</w:t>
      </w:r>
    </w:p>
    <w:sectPr w:rsidR="00D86B89" w:rsidRPr="00D86B89" w:rsidSect="00AB58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D3B" w:rsidRDefault="00515D3B" w:rsidP="0048517F">
      <w:pPr>
        <w:spacing w:after="0" w:line="240" w:lineRule="auto"/>
      </w:pPr>
      <w:r>
        <w:separator/>
      </w:r>
    </w:p>
  </w:endnote>
  <w:endnote w:type="continuationSeparator" w:id="0">
    <w:p w:rsidR="00515D3B" w:rsidRDefault="00515D3B" w:rsidP="00485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D3B" w:rsidRDefault="00515D3B" w:rsidP="0048517F">
      <w:pPr>
        <w:spacing w:after="0" w:line="240" w:lineRule="auto"/>
      </w:pPr>
      <w:r>
        <w:separator/>
      </w:r>
    </w:p>
  </w:footnote>
  <w:footnote w:type="continuationSeparator" w:id="0">
    <w:p w:rsidR="00515D3B" w:rsidRDefault="00515D3B" w:rsidP="00485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6656736"/>
      <w:docPartObj>
        <w:docPartGallery w:val="Page Numbers (Top of Page)"/>
        <w:docPartUnique/>
      </w:docPartObj>
    </w:sdtPr>
    <w:sdtEndPr>
      <w:rPr>
        <w:noProof/>
      </w:rPr>
    </w:sdtEndPr>
    <w:sdtContent>
      <w:p w:rsidR="0048517F" w:rsidRPr="0048517F" w:rsidRDefault="0048517F">
        <w:pPr>
          <w:pStyle w:val="Header"/>
          <w:rPr>
            <w:rFonts w:ascii="Times New Roman" w:hAnsi="Times New Roman" w:cs="Times New Roman"/>
            <w:sz w:val="24"/>
            <w:szCs w:val="24"/>
          </w:rPr>
        </w:pPr>
        <w:r w:rsidRPr="0048517F">
          <w:rPr>
            <w:rFonts w:ascii="Times New Roman" w:hAnsi="Times New Roman" w:cs="Times New Roman"/>
            <w:sz w:val="24"/>
            <w:szCs w:val="24"/>
          </w:rPr>
          <w:t>HANDLING INCIDENSES</w:t>
        </w:r>
        <w:r w:rsidR="00AB5895">
          <w:rPr>
            <w:rFonts w:ascii="Times New Roman" w:hAnsi="Times New Roman" w:cs="Times New Roman"/>
            <w:sz w:val="24"/>
            <w:szCs w:val="24"/>
          </w:rPr>
          <w:t xml:space="preserve">                                                                                                           </w:t>
        </w:r>
        <w:r w:rsidRPr="0048517F">
          <w:rPr>
            <w:rFonts w:ascii="Times New Roman" w:hAnsi="Times New Roman" w:cs="Times New Roman"/>
            <w:sz w:val="24"/>
            <w:szCs w:val="24"/>
          </w:rPr>
          <w:t xml:space="preserve"> </w:t>
        </w:r>
        <w:r w:rsidRPr="0048517F">
          <w:rPr>
            <w:rFonts w:ascii="Times New Roman" w:hAnsi="Times New Roman" w:cs="Times New Roman"/>
            <w:sz w:val="24"/>
            <w:szCs w:val="24"/>
          </w:rPr>
          <w:fldChar w:fldCharType="begin"/>
        </w:r>
        <w:r w:rsidRPr="0048517F">
          <w:rPr>
            <w:rFonts w:ascii="Times New Roman" w:hAnsi="Times New Roman" w:cs="Times New Roman"/>
            <w:sz w:val="24"/>
            <w:szCs w:val="24"/>
          </w:rPr>
          <w:instrText xml:space="preserve"> PAGE   \* MERGEFORMAT </w:instrText>
        </w:r>
        <w:r w:rsidRPr="0048517F">
          <w:rPr>
            <w:rFonts w:ascii="Times New Roman" w:hAnsi="Times New Roman" w:cs="Times New Roman"/>
            <w:sz w:val="24"/>
            <w:szCs w:val="24"/>
          </w:rPr>
          <w:fldChar w:fldCharType="separate"/>
        </w:r>
        <w:r w:rsidR="00B25FF0">
          <w:rPr>
            <w:rFonts w:ascii="Times New Roman" w:hAnsi="Times New Roman" w:cs="Times New Roman"/>
            <w:noProof/>
            <w:sz w:val="24"/>
            <w:szCs w:val="24"/>
          </w:rPr>
          <w:t>5</w:t>
        </w:r>
        <w:r w:rsidRPr="0048517F">
          <w:rPr>
            <w:rFonts w:ascii="Times New Roman" w:hAnsi="Times New Roman" w:cs="Times New Roman"/>
            <w:noProof/>
            <w:sz w:val="24"/>
            <w:szCs w:val="24"/>
          </w:rPr>
          <w:fldChar w:fldCharType="end"/>
        </w:r>
      </w:p>
    </w:sdtContent>
  </w:sdt>
  <w:p w:rsidR="0048517F" w:rsidRDefault="004851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3072755"/>
      <w:docPartObj>
        <w:docPartGallery w:val="Page Numbers (Top of Page)"/>
        <w:docPartUnique/>
      </w:docPartObj>
    </w:sdtPr>
    <w:sdtEndPr>
      <w:rPr>
        <w:noProof/>
      </w:rPr>
    </w:sdtEndPr>
    <w:sdtContent>
      <w:p w:rsidR="00AB5895" w:rsidRPr="0048517F" w:rsidRDefault="00AB5895" w:rsidP="00AB589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8517F">
          <w:rPr>
            <w:rFonts w:ascii="Times New Roman" w:hAnsi="Times New Roman" w:cs="Times New Roman"/>
            <w:sz w:val="24"/>
            <w:szCs w:val="24"/>
          </w:rPr>
          <w:t>HANDLING INCIDENSES</w:t>
        </w:r>
        <w:r>
          <w:rPr>
            <w:rFonts w:ascii="Times New Roman" w:hAnsi="Times New Roman" w:cs="Times New Roman"/>
            <w:sz w:val="24"/>
            <w:szCs w:val="24"/>
          </w:rPr>
          <w:t xml:space="preserve">                                                                                  </w:t>
        </w:r>
        <w:r w:rsidRPr="0048517F">
          <w:rPr>
            <w:rFonts w:ascii="Times New Roman" w:hAnsi="Times New Roman" w:cs="Times New Roman"/>
            <w:sz w:val="24"/>
            <w:szCs w:val="24"/>
          </w:rPr>
          <w:t xml:space="preserve"> </w:t>
        </w:r>
        <w:r w:rsidRPr="0048517F">
          <w:rPr>
            <w:rFonts w:ascii="Times New Roman" w:hAnsi="Times New Roman" w:cs="Times New Roman"/>
            <w:sz w:val="24"/>
            <w:szCs w:val="24"/>
          </w:rPr>
          <w:fldChar w:fldCharType="begin"/>
        </w:r>
        <w:r w:rsidRPr="0048517F">
          <w:rPr>
            <w:rFonts w:ascii="Times New Roman" w:hAnsi="Times New Roman" w:cs="Times New Roman"/>
            <w:sz w:val="24"/>
            <w:szCs w:val="24"/>
          </w:rPr>
          <w:instrText xml:space="preserve"> PAGE   \* MERGEFORMAT </w:instrText>
        </w:r>
        <w:r w:rsidRPr="0048517F">
          <w:rPr>
            <w:rFonts w:ascii="Times New Roman" w:hAnsi="Times New Roman" w:cs="Times New Roman"/>
            <w:sz w:val="24"/>
            <w:szCs w:val="24"/>
          </w:rPr>
          <w:fldChar w:fldCharType="separate"/>
        </w:r>
        <w:r w:rsidR="002E7766">
          <w:rPr>
            <w:rFonts w:ascii="Times New Roman" w:hAnsi="Times New Roman" w:cs="Times New Roman"/>
            <w:noProof/>
            <w:sz w:val="24"/>
            <w:szCs w:val="24"/>
          </w:rPr>
          <w:t>1</w:t>
        </w:r>
        <w:r w:rsidRPr="0048517F">
          <w:rPr>
            <w:rFonts w:ascii="Times New Roman" w:hAnsi="Times New Roman" w:cs="Times New Roman"/>
            <w:noProof/>
            <w:sz w:val="24"/>
            <w:szCs w:val="24"/>
          </w:rPr>
          <w:fldChar w:fldCharType="end"/>
        </w:r>
      </w:p>
    </w:sdtContent>
  </w:sdt>
  <w:p w:rsidR="0048517F" w:rsidRDefault="004851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A01"/>
    <w:rsid w:val="00167DCE"/>
    <w:rsid w:val="002E7766"/>
    <w:rsid w:val="003404D6"/>
    <w:rsid w:val="0038291A"/>
    <w:rsid w:val="0048517F"/>
    <w:rsid w:val="00515D3B"/>
    <w:rsid w:val="005A7465"/>
    <w:rsid w:val="006B47E8"/>
    <w:rsid w:val="007C660D"/>
    <w:rsid w:val="007D7F57"/>
    <w:rsid w:val="00804CC6"/>
    <w:rsid w:val="00813793"/>
    <w:rsid w:val="008617CB"/>
    <w:rsid w:val="00885A01"/>
    <w:rsid w:val="00885FB6"/>
    <w:rsid w:val="008F460A"/>
    <w:rsid w:val="0098496B"/>
    <w:rsid w:val="009B2423"/>
    <w:rsid w:val="00AB5895"/>
    <w:rsid w:val="00B25FF0"/>
    <w:rsid w:val="00BA2711"/>
    <w:rsid w:val="00BF56B9"/>
    <w:rsid w:val="00D86B89"/>
    <w:rsid w:val="00DC67E4"/>
    <w:rsid w:val="00E131F0"/>
    <w:rsid w:val="00EF0D93"/>
    <w:rsid w:val="00EF5461"/>
    <w:rsid w:val="00F03764"/>
    <w:rsid w:val="00FE5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08C9C"/>
  <w15:chartTrackingRefBased/>
  <w15:docId w15:val="{AB5C5636-0E16-4AA6-BA29-31B89C10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17F"/>
  </w:style>
  <w:style w:type="paragraph" w:styleId="Footer">
    <w:name w:val="footer"/>
    <w:basedOn w:val="Normal"/>
    <w:link w:val="FooterChar"/>
    <w:uiPriority w:val="99"/>
    <w:unhideWhenUsed/>
    <w:rsid w:val="00485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2019-04-05T20:15:00Z</dcterms:created>
  <dcterms:modified xsi:type="dcterms:W3CDTF">2019-04-05T20:15:00Z</dcterms:modified>
</cp:coreProperties>
</file>